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1705"/>
        <w:gridCol w:w="1812"/>
        <w:gridCol w:w="7389"/>
      </w:tblGrid>
      <w:tr w:rsidR="008D3DB3" w:rsidRPr="009D6618" w14:paraId="21786EA0" w14:textId="77777777" w:rsidTr="00DA4667">
        <w:tc>
          <w:tcPr>
            <w:tcW w:w="1705" w:type="dxa"/>
            <w:shd w:val="clear" w:color="auto" w:fill="C5E0B3" w:themeFill="accent6" w:themeFillTint="66"/>
          </w:tcPr>
          <w:p w14:paraId="6CAB4331" w14:textId="62CB04CC" w:rsidR="008D3DB3" w:rsidRPr="009D6618" w:rsidRDefault="008D3DB3" w:rsidP="008D3DB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24938327"/>
            <w:r w:rsidRPr="009D6618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812" w:type="dxa"/>
            <w:shd w:val="clear" w:color="auto" w:fill="C5E0B3" w:themeFill="accent6" w:themeFillTint="66"/>
          </w:tcPr>
          <w:p w14:paraId="133EC9CC" w14:textId="77777777" w:rsidR="008D3DB3" w:rsidRPr="009D6618" w:rsidRDefault="008D3DB3" w:rsidP="008D3DB3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618">
              <w:rPr>
                <w:rFonts w:ascii="Arial" w:hAnsi="Arial" w:cs="Arial"/>
                <w:b/>
                <w:bCs/>
              </w:rPr>
              <w:t>Responsible</w:t>
            </w:r>
          </w:p>
          <w:p w14:paraId="013DAE42" w14:textId="76ED9374" w:rsidR="008D3DB3" w:rsidRPr="009D6618" w:rsidRDefault="008D3DB3" w:rsidP="008D3DB3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618">
              <w:rPr>
                <w:rFonts w:ascii="Arial" w:hAnsi="Arial" w:cs="Arial"/>
                <w:b/>
                <w:bCs/>
              </w:rPr>
              <w:t xml:space="preserve"> Party</w:t>
            </w:r>
          </w:p>
        </w:tc>
        <w:tc>
          <w:tcPr>
            <w:tcW w:w="7389" w:type="dxa"/>
            <w:shd w:val="clear" w:color="auto" w:fill="C5E0B3" w:themeFill="accent6" w:themeFillTint="66"/>
          </w:tcPr>
          <w:p w14:paraId="3652CC67" w14:textId="3AA3F29A" w:rsidR="008D3DB3" w:rsidRPr="009D6618" w:rsidRDefault="008D3DB3" w:rsidP="008D3DB3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618">
              <w:rPr>
                <w:rFonts w:ascii="Arial" w:hAnsi="Arial" w:cs="Arial"/>
                <w:b/>
                <w:bCs/>
              </w:rPr>
              <w:t>Task</w:t>
            </w:r>
          </w:p>
        </w:tc>
      </w:tr>
      <w:bookmarkEnd w:id="0"/>
      <w:tr w:rsidR="008D3DB3" w:rsidRPr="009D6618" w14:paraId="12C19FBB" w14:textId="77777777" w:rsidTr="00DA4667">
        <w:trPr>
          <w:trHeight w:val="662"/>
        </w:trPr>
        <w:tc>
          <w:tcPr>
            <w:tcW w:w="1705" w:type="dxa"/>
            <w:vAlign w:val="center"/>
          </w:tcPr>
          <w:p w14:paraId="2438C1F3" w14:textId="120021F7" w:rsidR="008D3DB3" w:rsidRPr="009D6618" w:rsidRDefault="0045072D" w:rsidP="004E50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  <w:r w:rsidR="00BC7624">
              <w:rPr>
                <w:rFonts w:ascii="Arial" w:hAnsi="Arial" w:cs="Arial"/>
              </w:rPr>
              <w:t xml:space="preserve"> 202</w:t>
            </w:r>
            <w:r w:rsidR="000166B9">
              <w:rPr>
                <w:rFonts w:ascii="Arial" w:hAnsi="Arial" w:cs="Arial"/>
              </w:rPr>
              <w:t>5</w:t>
            </w:r>
          </w:p>
        </w:tc>
        <w:tc>
          <w:tcPr>
            <w:tcW w:w="1812" w:type="dxa"/>
            <w:vAlign w:val="center"/>
          </w:tcPr>
          <w:p w14:paraId="3075483E" w14:textId="366169A6" w:rsidR="008D3DB3" w:rsidRPr="009D6618" w:rsidRDefault="008D3DB3" w:rsidP="00C850DB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Provost</w:t>
            </w:r>
            <w:r w:rsidR="00AA1A2E" w:rsidRPr="009D6618">
              <w:rPr>
                <w:rFonts w:ascii="Arial" w:hAnsi="Arial" w:cs="Arial"/>
              </w:rPr>
              <w:t xml:space="preserve"> Office</w:t>
            </w:r>
          </w:p>
        </w:tc>
        <w:tc>
          <w:tcPr>
            <w:tcW w:w="7389" w:type="dxa"/>
            <w:vAlign w:val="center"/>
          </w:tcPr>
          <w:p w14:paraId="1E613882" w14:textId="3E53823F" w:rsidR="008D3DB3" w:rsidRPr="009D6618" w:rsidRDefault="008D3DB3" w:rsidP="004E62BA">
            <w:pPr>
              <w:pStyle w:val="TableParagraph"/>
              <w:spacing w:before="6"/>
              <w:ind w:left="30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Announce</w:t>
            </w:r>
            <w:r w:rsidRPr="009D6618">
              <w:rPr>
                <w:rFonts w:ascii="Arial" w:hAnsi="Arial" w:cs="Arial"/>
                <w:spacing w:val="-3"/>
              </w:rPr>
              <w:t xml:space="preserve"> </w:t>
            </w:r>
            <w:r w:rsidR="00AA1A2E" w:rsidRPr="009D6618">
              <w:rPr>
                <w:rFonts w:ascii="Arial" w:hAnsi="Arial" w:cs="Arial"/>
                <w:spacing w:val="-3"/>
              </w:rPr>
              <w:t xml:space="preserve">evaluation </w:t>
            </w:r>
            <w:r w:rsidRPr="009D6618">
              <w:rPr>
                <w:rFonts w:ascii="Arial" w:hAnsi="Arial" w:cs="Arial"/>
              </w:rPr>
              <w:t>deadlines.</w:t>
            </w:r>
            <w:r w:rsidRPr="009D6618">
              <w:rPr>
                <w:rFonts w:ascii="Arial" w:hAnsi="Arial" w:cs="Arial"/>
                <w:spacing w:val="-5"/>
              </w:rPr>
              <w:t xml:space="preserve"> </w:t>
            </w:r>
          </w:p>
        </w:tc>
      </w:tr>
      <w:tr w:rsidR="008D3DB3" w:rsidRPr="009D6618" w14:paraId="03DEB0E6" w14:textId="77777777" w:rsidTr="00DA4667">
        <w:trPr>
          <w:trHeight w:val="662"/>
        </w:trPr>
        <w:tc>
          <w:tcPr>
            <w:tcW w:w="1705" w:type="dxa"/>
            <w:vAlign w:val="center"/>
          </w:tcPr>
          <w:p w14:paraId="29198DDF" w14:textId="776AA641" w:rsidR="008D3DB3" w:rsidRPr="009D6618" w:rsidRDefault="008A2658" w:rsidP="004E50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</w:t>
            </w:r>
            <w:r w:rsidR="000166B9">
              <w:rPr>
                <w:rFonts w:ascii="Arial" w:hAnsi="Arial" w:cs="Arial"/>
              </w:rPr>
              <w:t xml:space="preserve"> 19</w:t>
            </w:r>
            <w:r w:rsidR="004E62BA" w:rsidRPr="009D66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14:paraId="54645BAF" w14:textId="1DD093DA" w:rsidR="008D3DB3" w:rsidRPr="009D6618" w:rsidRDefault="004E62BA" w:rsidP="00C850DB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Provost Office</w:t>
            </w:r>
          </w:p>
        </w:tc>
        <w:tc>
          <w:tcPr>
            <w:tcW w:w="7389" w:type="dxa"/>
            <w:vAlign w:val="center"/>
          </w:tcPr>
          <w:p w14:paraId="291E20D7" w14:textId="2A2093F3" w:rsidR="008D3DB3" w:rsidRPr="009D6618" w:rsidRDefault="004E62BA" w:rsidP="008D3DB3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 xml:space="preserve">Evaluations </w:t>
            </w:r>
            <w:proofErr w:type="gramStart"/>
            <w:r w:rsidRPr="009D6618">
              <w:rPr>
                <w:rFonts w:ascii="Arial" w:hAnsi="Arial" w:cs="Arial"/>
              </w:rPr>
              <w:t>open</w:t>
            </w:r>
            <w:proofErr w:type="gramEnd"/>
            <w:r w:rsidRPr="009D6618">
              <w:rPr>
                <w:rFonts w:ascii="Arial" w:hAnsi="Arial" w:cs="Arial"/>
              </w:rPr>
              <w:t xml:space="preserve"> in myVITA.</w:t>
            </w:r>
          </w:p>
        </w:tc>
      </w:tr>
      <w:tr w:rsidR="008D3DB3" w:rsidRPr="009D6618" w14:paraId="6D302C1A" w14:textId="77777777" w:rsidTr="00DA4667">
        <w:trPr>
          <w:trHeight w:val="665"/>
        </w:trPr>
        <w:tc>
          <w:tcPr>
            <w:tcW w:w="1705" w:type="dxa"/>
            <w:vAlign w:val="center"/>
          </w:tcPr>
          <w:p w14:paraId="11352466" w14:textId="63C14C73" w:rsidR="008D3DB3" w:rsidRPr="009D6618" w:rsidRDefault="004E62BA" w:rsidP="004E5031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January</w:t>
            </w:r>
            <w:r w:rsidR="00815D35" w:rsidRPr="009D6618">
              <w:rPr>
                <w:rFonts w:ascii="Arial" w:hAnsi="Arial" w:cs="Arial"/>
              </w:rPr>
              <w:t xml:space="preserve"> </w:t>
            </w:r>
            <w:r w:rsidR="000166B9">
              <w:rPr>
                <w:rFonts w:ascii="Arial" w:hAnsi="Arial" w:cs="Arial"/>
              </w:rPr>
              <w:t>5</w:t>
            </w:r>
            <w:r w:rsidR="001A0FFA">
              <w:rPr>
                <w:rFonts w:ascii="Arial" w:hAnsi="Arial" w:cs="Arial"/>
              </w:rPr>
              <w:t>, 202</w:t>
            </w:r>
            <w:r w:rsidR="000166B9">
              <w:rPr>
                <w:rFonts w:ascii="Arial" w:hAnsi="Arial" w:cs="Arial"/>
              </w:rPr>
              <w:t>6</w:t>
            </w:r>
          </w:p>
        </w:tc>
        <w:tc>
          <w:tcPr>
            <w:tcW w:w="1812" w:type="dxa"/>
            <w:vAlign w:val="center"/>
          </w:tcPr>
          <w:p w14:paraId="3EC2236A" w14:textId="4654E2F1" w:rsidR="008D3DB3" w:rsidRPr="009D6618" w:rsidRDefault="004E62BA" w:rsidP="00C850DB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Department Chair</w:t>
            </w:r>
          </w:p>
        </w:tc>
        <w:tc>
          <w:tcPr>
            <w:tcW w:w="7389" w:type="dxa"/>
            <w:vAlign w:val="center"/>
          </w:tcPr>
          <w:p w14:paraId="7E557DCE" w14:textId="69967383" w:rsidR="004E62BA" w:rsidRPr="009D6618" w:rsidRDefault="004E62BA" w:rsidP="004E62BA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The Dept. Chair runs reports in myVITA/RPT of the faculty members from January 1</w:t>
            </w:r>
            <w:r w:rsidRPr="009D6618">
              <w:rPr>
                <w:rFonts w:ascii="Arial" w:hAnsi="Arial" w:cs="Arial"/>
                <w:vertAlign w:val="superscript"/>
              </w:rPr>
              <w:t>st</w:t>
            </w:r>
            <w:r w:rsidRPr="009D6618">
              <w:rPr>
                <w:rFonts w:ascii="Arial" w:hAnsi="Arial" w:cs="Arial"/>
              </w:rPr>
              <w:t xml:space="preserve"> to December 31</w:t>
            </w:r>
            <w:r w:rsidRPr="009D6618">
              <w:rPr>
                <w:rFonts w:ascii="Arial" w:hAnsi="Arial" w:cs="Arial"/>
                <w:vertAlign w:val="superscript"/>
              </w:rPr>
              <w:t>st</w:t>
            </w:r>
            <w:r w:rsidRPr="009D6618">
              <w:rPr>
                <w:rFonts w:ascii="Arial" w:hAnsi="Arial" w:cs="Arial"/>
              </w:rPr>
              <w:t xml:space="preserve"> of the previous calendar year and schedules meetings with all ranked faculty to discuss their performance during the last calendar year. </w:t>
            </w:r>
          </w:p>
          <w:p w14:paraId="4BDA5C94" w14:textId="131E7A80" w:rsidR="004E62BA" w:rsidRPr="009D6618" w:rsidRDefault="004E62BA" w:rsidP="004E62BA">
            <w:pPr>
              <w:rPr>
                <w:rFonts w:ascii="Arial" w:hAnsi="Arial" w:cs="Arial"/>
              </w:rPr>
            </w:pPr>
          </w:p>
          <w:p w14:paraId="38D5627D" w14:textId="67A42736" w:rsidR="008D3DB3" w:rsidRPr="009D6618" w:rsidRDefault="004E62BA" w:rsidP="004E62BA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 xml:space="preserve">After the meetings take place, the Dept. Chairs write their evaluation in </w:t>
            </w:r>
            <w:r w:rsidR="00753198">
              <w:rPr>
                <w:rFonts w:ascii="Arial" w:hAnsi="Arial" w:cs="Arial"/>
              </w:rPr>
              <w:t>the</w:t>
            </w:r>
            <w:r w:rsidRPr="009D6618">
              <w:rPr>
                <w:rFonts w:ascii="Arial" w:hAnsi="Arial" w:cs="Arial"/>
              </w:rPr>
              <w:t xml:space="preserve"> myVITA/RPT platform </w:t>
            </w:r>
            <w:r w:rsidRPr="009D6618">
              <w:rPr>
                <w:rFonts w:ascii="Arial" w:hAnsi="Arial" w:cs="Arial"/>
                <w:b/>
                <w:bCs/>
              </w:rPr>
              <w:t>within 48 hrs</w:t>
            </w:r>
            <w:r w:rsidRPr="009D6618">
              <w:rPr>
                <w:rFonts w:ascii="Arial" w:hAnsi="Arial" w:cs="Arial"/>
              </w:rPr>
              <w:t xml:space="preserve">. of such a meeting. </w:t>
            </w:r>
          </w:p>
        </w:tc>
      </w:tr>
      <w:tr w:rsidR="008D3DB3" w:rsidRPr="009D6618" w14:paraId="02E88ADB" w14:textId="77777777" w:rsidTr="00DA4667">
        <w:trPr>
          <w:trHeight w:val="662"/>
        </w:trPr>
        <w:tc>
          <w:tcPr>
            <w:tcW w:w="1705" w:type="dxa"/>
            <w:vAlign w:val="center"/>
          </w:tcPr>
          <w:p w14:paraId="5E28DC95" w14:textId="2BC28186" w:rsidR="008D3DB3" w:rsidRPr="009D6618" w:rsidRDefault="002F1A82" w:rsidP="004E50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0166B9">
              <w:rPr>
                <w:rFonts w:ascii="Arial" w:hAnsi="Arial" w:cs="Arial"/>
              </w:rPr>
              <w:t>6</w:t>
            </w:r>
          </w:p>
        </w:tc>
        <w:tc>
          <w:tcPr>
            <w:tcW w:w="1812" w:type="dxa"/>
            <w:vAlign w:val="center"/>
          </w:tcPr>
          <w:p w14:paraId="60A32E59" w14:textId="100B4091" w:rsidR="008D3DB3" w:rsidRPr="009D6618" w:rsidRDefault="00A8568A" w:rsidP="00C850DB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Department Chair</w:t>
            </w:r>
          </w:p>
        </w:tc>
        <w:tc>
          <w:tcPr>
            <w:tcW w:w="7389" w:type="dxa"/>
            <w:vAlign w:val="center"/>
          </w:tcPr>
          <w:p w14:paraId="6F35ED96" w14:textId="5292ADE5" w:rsidR="003857BD" w:rsidRPr="009D6618" w:rsidRDefault="00A8568A" w:rsidP="008D3DB3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 xml:space="preserve">Department Chair completes their evaluation </w:t>
            </w:r>
            <w:r w:rsidR="00CA26D3">
              <w:rPr>
                <w:rFonts w:ascii="Arial" w:hAnsi="Arial" w:cs="Arial"/>
              </w:rPr>
              <w:t xml:space="preserve">of faculty </w:t>
            </w:r>
            <w:r w:rsidRPr="009D6618">
              <w:rPr>
                <w:rFonts w:ascii="Arial" w:hAnsi="Arial" w:cs="Arial"/>
              </w:rPr>
              <w:t>in myVITA/RPT.</w:t>
            </w:r>
          </w:p>
        </w:tc>
      </w:tr>
      <w:tr w:rsidR="00F70783" w:rsidRPr="009D6618" w14:paraId="58590F42" w14:textId="77777777" w:rsidTr="00DA4667">
        <w:trPr>
          <w:trHeight w:val="662"/>
        </w:trPr>
        <w:tc>
          <w:tcPr>
            <w:tcW w:w="1705" w:type="dxa"/>
            <w:vAlign w:val="center"/>
          </w:tcPr>
          <w:p w14:paraId="2A60EEE5" w14:textId="7279A83E" w:rsidR="00F70783" w:rsidRDefault="00CA26D3" w:rsidP="004E50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13</w:t>
            </w:r>
          </w:p>
        </w:tc>
        <w:tc>
          <w:tcPr>
            <w:tcW w:w="1812" w:type="dxa"/>
            <w:vAlign w:val="center"/>
          </w:tcPr>
          <w:p w14:paraId="63B99291" w14:textId="7A5323F4" w:rsidR="00F70783" w:rsidRPr="009D6618" w:rsidRDefault="00F70783" w:rsidP="00C85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Dean</w:t>
            </w:r>
          </w:p>
        </w:tc>
        <w:tc>
          <w:tcPr>
            <w:tcW w:w="7389" w:type="dxa"/>
            <w:vAlign w:val="center"/>
          </w:tcPr>
          <w:p w14:paraId="6138BA89" w14:textId="71FA3336" w:rsidR="00F70783" w:rsidRPr="009D6618" w:rsidRDefault="00CA26D3" w:rsidP="008D3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Dean completes evaluation of </w:t>
            </w:r>
            <w:r w:rsidR="0075319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epartment </w:t>
            </w:r>
            <w:r w:rsidR="0075319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hairs and </w:t>
            </w:r>
            <w:r w:rsidR="0075319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ssociate </w:t>
            </w:r>
            <w:r w:rsidR="0075319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eans in myVITA/RPT. </w:t>
            </w:r>
          </w:p>
        </w:tc>
      </w:tr>
      <w:tr w:rsidR="00A8568A" w:rsidRPr="009D6618" w14:paraId="03D99B1F" w14:textId="77777777" w:rsidTr="00DA4667">
        <w:trPr>
          <w:trHeight w:val="662"/>
        </w:trPr>
        <w:tc>
          <w:tcPr>
            <w:tcW w:w="1705" w:type="dxa"/>
            <w:vAlign w:val="center"/>
          </w:tcPr>
          <w:p w14:paraId="41E70E8B" w14:textId="0B573666" w:rsidR="00A8568A" w:rsidRPr="009D6618" w:rsidRDefault="002F1A82" w:rsidP="004E50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0166B9">
              <w:rPr>
                <w:rFonts w:ascii="Arial" w:hAnsi="Arial" w:cs="Arial"/>
              </w:rPr>
              <w:t>6</w:t>
            </w:r>
          </w:p>
        </w:tc>
        <w:tc>
          <w:tcPr>
            <w:tcW w:w="1812" w:type="dxa"/>
            <w:vAlign w:val="center"/>
          </w:tcPr>
          <w:p w14:paraId="5825C695" w14:textId="78F1B7D0" w:rsidR="00A8568A" w:rsidRPr="009D6618" w:rsidRDefault="00A8568A" w:rsidP="00C850DB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Faculty Member</w:t>
            </w:r>
          </w:p>
        </w:tc>
        <w:tc>
          <w:tcPr>
            <w:tcW w:w="7389" w:type="dxa"/>
            <w:vAlign w:val="center"/>
          </w:tcPr>
          <w:p w14:paraId="3C402509" w14:textId="118F7FA4" w:rsidR="00A8568A" w:rsidRPr="009D6618" w:rsidRDefault="00A8568A" w:rsidP="0077725B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 xml:space="preserve">If the evaluation is </w:t>
            </w:r>
            <w:r w:rsidRPr="009D6618">
              <w:rPr>
                <w:rFonts w:ascii="Arial" w:hAnsi="Arial" w:cs="Arial"/>
                <w:b/>
                <w:bCs/>
              </w:rPr>
              <w:t>unsatisfactory</w:t>
            </w:r>
            <w:r w:rsidR="008F546A">
              <w:rPr>
                <w:rFonts w:ascii="Arial" w:hAnsi="Arial" w:cs="Arial"/>
                <w:b/>
                <w:bCs/>
              </w:rPr>
              <w:t>**</w:t>
            </w:r>
            <w:r w:rsidR="0077725B" w:rsidRPr="009D6618">
              <w:rPr>
                <w:rFonts w:ascii="Arial" w:hAnsi="Arial" w:cs="Arial"/>
                <w:b/>
                <w:bCs/>
              </w:rPr>
              <w:t>,</w:t>
            </w:r>
            <w:r w:rsidRPr="009D6618">
              <w:rPr>
                <w:rFonts w:ascii="Arial" w:hAnsi="Arial" w:cs="Arial"/>
              </w:rPr>
              <w:t xml:space="preserve"> </w:t>
            </w:r>
            <w:r w:rsidR="0077725B" w:rsidRPr="009D6618">
              <w:rPr>
                <w:rFonts w:ascii="Arial" w:hAnsi="Arial" w:cs="Arial"/>
              </w:rPr>
              <w:t>please see the additional section</w:t>
            </w:r>
            <w:r w:rsidRPr="009D6618">
              <w:rPr>
                <w:rFonts w:ascii="Arial" w:hAnsi="Arial" w:cs="Arial"/>
              </w:rPr>
              <w:t xml:space="preserve"> </w:t>
            </w:r>
          </w:p>
        </w:tc>
      </w:tr>
      <w:tr w:rsidR="00E82CCA" w:rsidRPr="009D6618" w14:paraId="002092EE" w14:textId="77777777" w:rsidTr="00DA4667">
        <w:trPr>
          <w:trHeight w:val="662"/>
        </w:trPr>
        <w:tc>
          <w:tcPr>
            <w:tcW w:w="1705" w:type="dxa"/>
            <w:vAlign w:val="center"/>
          </w:tcPr>
          <w:p w14:paraId="657B54CA" w14:textId="32866880" w:rsidR="00E82CCA" w:rsidRPr="009D6618" w:rsidRDefault="002F1A82" w:rsidP="004E50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</w:t>
            </w:r>
            <w:r w:rsidR="000166B9">
              <w:rPr>
                <w:rFonts w:ascii="Arial" w:hAnsi="Arial" w:cs="Arial"/>
              </w:rPr>
              <w:t>3</w:t>
            </w:r>
          </w:p>
        </w:tc>
        <w:tc>
          <w:tcPr>
            <w:tcW w:w="1812" w:type="dxa"/>
            <w:vAlign w:val="center"/>
          </w:tcPr>
          <w:p w14:paraId="4770A672" w14:textId="6515651F" w:rsidR="00E82CCA" w:rsidRPr="009D6618" w:rsidRDefault="004E62BA" w:rsidP="00E82CCA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Faculty Member</w:t>
            </w:r>
          </w:p>
        </w:tc>
        <w:tc>
          <w:tcPr>
            <w:tcW w:w="7389" w:type="dxa"/>
            <w:vAlign w:val="center"/>
          </w:tcPr>
          <w:p w14:paraId="47AE2DD1" w14:textId="434D7E8F" w:rsidR="00E82CCA" w:rsidRPr="009D6618" w:rsidRDefault="0077725B" w:rsidP="00753198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For satisfactory cases</w:t>
            </w:r>
            <w:r w:rsidR="00E62A53" w:rsidRPr="009D6618">
              <w:rPr>
                <w:rFonts w:ascii="Arial" w:hAnsi="Arial" w:cs="Arial"/>
              </w:rPr>
              <w:t>,</w:t>
            </w:r>
            <w:r w:rsidR="00753198">
              <w:rPr>
                <w:rFonts w:ascii="Arial" w:hAnsi="Arial" w:cs="Arial"/>
              </w:rPr>
              <w:t xml:space="preserve"> e</w:t>
            </w:r>
            <w:r w:rsidR="00A8568A" w:rsidRPr="009D6618">
              <w:rPr>
                <w:rFonts w:ascii="Arial" w:hAnsi="Arial" w:cs="Arial"/>
              </w:rPr>
              <w:t>valuation must be acknowledged in myVITA/RPT</w:t>
            </w:r>
            <w:r w:rsidRPr="009D6618">
              <w:rPr>
                <w:rFonts w:ascii="Arial" w:hAnsi="Arial" w:cs="Arial"/>
              </w:rPr>
              <w:t xml:space="preserve">. </w:t>
            </w:r>
          </w:p>
        </w:tc>
      </w:tr>
    </w:tbl>
    <w:p w14:paraId="6B3A31C0" w14:textId="24EC0136" w:rsidR="005B5CD7" w:rsidRPr="009D6618" w:rsidRDefault="005B5CD7">
      <w:pPr>
        <w:rPr>
          <w:rFonts w:ascii="Arial" w:hAnsi="Arial" w:cs="Arial"/>
          <w:b/>
          <w:bCs/>
          <w:i/>
          <w:iCs/>
          <w:u w:val="single"/>
        </w:rPr>
      </w:pPr>
    </w:p>
    <w:p w14:paraId="200328AA" w14:textId="7B3850C3" w:rsidR="0077725B" w:rsidRPr="009D6618" w:rsidRDefault="008F546A" w:rsidP="00AA1A2E">
      <w:pPr>
        <w:tabs>
          <w:tab w:val="left" w:pos="5910"/>
        </w:tabs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**</w:t>
      </w:r>
      <w:r w:rsidR="0077725B" w:rsidRPr="009D6618">
        <w:rPr>
          <w:rFonts w:ascii="Arial" w:hAnsi="Arial" w:cs="Arial"/>
          <w:b/>
          <w:bCs/>
          <w:i/>
          <w:iCs/>
          <w:u w:val="single"/>
        </w:rPr>
        <w:t xml:space="preserve">For unsatisfactory cases. </w:t>
      </w: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1705"/>
        <w:gridCol w:w="1812"/>
        <w:gridCol w:w="7389"/>
      </w:tblGrid>
      <w:tr w:rsidR="005B5CD7" w:rsidRPr="009D6618" w14:paraId="0ECF1F2F" w14:textId="77777777" w:rsidTr="003F3637">
        <w:tc>
          <w:tcPr>
            <w:tcW w:w="1705" w:type="dxa"/>
            <w:shd w:val="clear" w:color="auto" w:fill="C5E0B3" w:themeFill="accent6" w:themeFillTint="66"/>
          </w:tcPr>
          <w:p w14:paraId="22C091C8" w14:textId="77777777" w:rsidR="005B5CD7" w:rsidRPr="009D6618" w:rsidRDefault="005B5CD7" w:rsidP="003F3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618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812" w:type="dxa"/>
            <w:shd w:val="clear" w:color="auto" w:fill="C5E0B3" w:themeFill="accent6" w:themeFillTint="66"/>
          </w:tcPr>
          <w:p w14:paraId="50A56725" w14:textId="77777777" w:rsidR="005B5CD7" w:rsidRPr="009D6618" w:rsidRDefault="005B5CD7" w:rsidP="003F3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618">
              <w:rPr>
                <w:rFonts w:ascii="Arial" w:hAnsi="Arial" w:cs="Arial"/>
                <w:b/>
                <w:bCs/>
              </w:rPr>
              <w:t>Responsible</w:t>
            </w:r>
          </w:p>
          <w:p w14:paraId="7472C6D6" w14:textId="77777777" w:rsidR="005B5CD7" w:rsidRPr="009D6618" w:rsidRDefault="005B5CD7" w:rsidP="003F3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618">
              <w:rPr>
                <w:rFonts w:ascii="Arial" w:hAnsi="Arial" w:cs="Arial"/>
                <w:b/>
                <w:bCs/>
              </w:rPr>
              <w:t xml:space="preserve"> Party</w:t>
            </w:r>
          </w:p>
        </w:tc>
        <w:tc>
          <w:tcPr>
            <w:tcW w:w="7389" w:type="dxa"/>
            <w:shd w:val="clear" w:color="auto" w:fill="C5E0B3" w:themeFill="accent6" w:themeFillTint="66"/>
          </w:tcPr>
          <w:p w14:paraId="7242FC1F" w14:textId="77777777" w:rsidR="005B5CD7" w:rsidRPr="009D6618" w:rsidRDefault="005B5CD7" w:rsidP="003F3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618">
              <w:rPr>
                <w:rFonts w:ascii="Arial" w:hAnsi="Arial" w:cs="Arial"/>
                <w:b/>
                <w:bCs/>
              </w:rPr>
              <w:t>Task</w:t>
            </w:r>
          </w:p>
        </w:tc>
      </w:tr>
      <w:tr w:rsidR="005B5CD7" w:rsidRPr="009D6618" w14:paraId="1C547A7D" w14:textId="77777777" w:rsidTr="00604B4C">
        <w:trPr>
          <w:trHeight w:val="935"/>
        </w:trPr>
        <w:tc>
          <w:tcPr>
            <w:tcW w:w="1705" w:type="dxa"/>
            <w:vAlign w:val="center"/>
          </w:tcPr>
          <w:p w14:paraId="53459050" w14:textId="30E9BD12" w:rsidR="005B5CD7" w:rsidRPr="009D6618" w:rsidRDefault="002F1A82" w:rsidP="00604B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</w:t>
            </w:r>
            <w:r w:rsidR="000166B9">
              <w:rPr>
                <w:rFonts w:ascii="Arial" w:hAnsi="Arial" w:cs="Arial"/>
              </w:rPr>
              <w:t>3</w:t>
            </w:r>
          </w:p>
        </w:tc>
        <w:tc>
          <w:tcPr>
            <w:tcW w:w="1812" w:type="dxa"/>
            <w:vAlign w:val="center"/>
          </w:tcPr>
          <w:p w14:paraId="2EBE3105" w14:textId="3060FDD2" w:rsidR="005B5CD7" w:rsidRPr="009D6618" w:rsidRDefault="005B5CD7" w:rsidP="00604B4C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Department Chair and Faculty</w:t>
            </w:r>
          </w:p>
        </w:tc>
        <w:tc>
          <w:tcPr>
            <w:tcW w:w="7389" w:type="dxa"/>
            <w:vAlign w:val="center"/>
          </w:tcPr>
          <w:p w14:paraId="516B4C21" w14:textId="11A64E53" w:rsidR="005B5CD7" w:rsidRPr="009D6618" w:rsidRDefault="005B5CD7" w:rsidP="00604B4C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 xml:space="preserve">A meeting will be held between the </w:t>
            </w:r>
            <w:r w:rsidR="00753198">
              <w:rPr>
                <w:rFonts w:ascii="Arial" w:hAnsi="Arial" w:cs="Arial"/>
              </w:rPr>
              <w:t>D</w:t>
            </w:r>
            <w:r w:rsidRPr="009D6618">
              <w:rPr>
                <w:rFonts w:ascii="Arial" w:hAnsi="Arial" w:cs="Arial"/>
              </w:rPr>
              <w:t xml:space="preserve">epartment </w:t>
            </w:r>
            <w:r w:rsidR="00753198">
              <w:rPr>
                <w:rFonts w:ascii="Arial" w:hAnsi="Arial" w:cs="Arial"/>
              </w:rPr>
              <w:t>C</w:t>
            </w:r>
            <w:r w:rsidRPr="009D6618">
              <w:rPr>
                <w:rFonts w:ascii="Arial" w:hAnsi="Arial" w:cs="Arial"/>
              </w:rPr>
              <w:t xml:space="preserve">hair and the faculty within five business days of submission of the </w:t>
            </w:r>
            <w:r w:rsidR="00753198">
              <w:rPr>
                <w:rFonts w:ascii="Arial" w:hAnsi="Arial" w:cs="Arial"/>
              </w:rPr>
              <w:t xml:space="preserve">Dept. Chairs </w:t>
            </w:r>
            <w:r w:rsidRPr="009D6618">
              <w:rPr>
                <w:rFonts w:ascii="Arial" w:hAnsi="Arial" w:cs="Arial"/>
              </w:rPr>
              <w:t>evaluation to see if their positions can be reconciled</w:t>
            </w:r>
          </w:p>
        </w:tc>
      </w:tr>
      <w:tr w:rsidR="00E62A53" w:rsidRPr="009D6618" w14:paraId="45EDA131" w14:textId="77777777" w:rsidTr="00604B4C">
        <w:trPr>
          <w:trHeight w:val="662"/>
        </w:trPr>
        <w:tc>
          <w:tcPr>
            <w:tcW w:w="1705" w:type="dxa"/>
            <w:vAlign w:val="center"/>
          </w:tcPr>
          <w:p w14:paraId="6859068E" w14:textId="35D4A73C" w:rsidR="00E62A53" w:rsidRPr="009D6618" w:rsidRDefault="008F546A" w:rsidP="00604B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E62A53" w:rsidRPr="009D6618">
              <w:rPr>
                <w:rFonts w:ascii="Arial" w:hAnsi="Arial" w:cs="Arial"/>
              </w:rPr>
              <w:t xml:space="preserve"> </w:t>
            </w:r>
            <w:r w:rsidR="002F1A82">
              <w:rPr>
                <w:rFonts w:ascii="Arial" w:hAnsi="Arial" w:cs="Arial"/>
              </w:rPr>
              <w:t>2</w:t>
            </w:r>
            <w:r w:rsidR="000166B9"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  <w:vAlign w:val="center"/>
          </w:tcPr>
          <w:p w14:paraId="3A5D6E72" w14:textId="5CE0A406" w:rsidR="00E62A53" w:rsidRPr="009D6618" w:rsidRDefault="00E62A53" w:rsidP="00604B4C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Faculty</w:t>
            </w:r>
          </w:p>
        </w:tc>
        <w:tc>
          <w:tcPr>
            <w:tcW w:w="7389" w:type="dxa"/>
            <w:vAlign w:val="center"/>
          </w:tcPr>
          <w:p w14:paraId="2D62E4BB" w14:textId="0D2AD692" w:rsidR="00E62A53" w:rsidRPr="009D6618" w:rsidRDefault="00E62A53" w:rsidP="00604B4C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 xml:space="preserve">If </w:t>
            </w:r>
            <w:r w:rsidR="00753198" w:rsidRPr="009D6618">
              <w:rPr>
                <w:rFonts w:ascii="Arial" w:hAnsi="Arial" w:cs="Arial"/>
              </w:rPr>
              <w:t>reconciliation</w:t>
            </w:r>
            <w:r w:rsidRPr="009D6618">
              <w:rPr>
                <w:rFonts w:ascii="Arial" w:hAnsi="Arial" w:cs="Arial"/>
              </w:rPr>
              <w:t xml:space="preserve"> is not possible</w:t>
            </w:r>
            <w:r w:rsidR="00753198">
              <w:rPr>
                <w:rFonts w:ascii="Arial" w:hAnsi="Arial" w:cs="Arial"/>
              </w:rPr>
              <w:t>,</w:t>
            </w:r>
            <w:r w:rsidRPr="009D6618">
              <w:rPr>
                <w:rFonts w:ascii="Arial" w:hAnsi="Arial" w:cs="Arial"/>
              </w:rPr>
              <w:t xml:space="preserve"> the faculty </w:t>
            </w:r>
            <w:proofErr w:type="gramStart"/>
            <w:r w:rsidRPr="009D6618">
              <w:rPr>
                <w:rFonts w:ascii="Arial" w:hAnsi="Arial" w:cs="Arial"/>
              </w:rPr>
              <w:t>member</w:t>
            </w:r>
            <w:proofErr w:type="gramEnd"/>
            <w:r w:rsidRPr="009D6618">
              <w:rPr>
                <w:rFonts w:ascii="Arial" w:hAnsi="Arial" w:cs="Arial"/>
              </w:rPr>
              <w:t xml:space="preserve"> will write their rebuttal within </w:t>
            </w:r>
            <w:r w:rsidRPr="009D6618">
              <w:rPr>
                <w:rFonts w:ascii="Arial" w:hAnsi="Arial" w:cs="Arial"/>
                <w:b/>
                <w:bCs/>
              </w:rPr>
              <w:t>five business days.</w:t>
            </w:r>
          </w:p>
        </w:tc>
      </w:tr>
      <w:tr w:rsidR="00E62A53" w:rsidRPr="009D6618" w14:paraId="08B09937" w14:textId="77777777" w:rsidTr="00604B4C">
        <w:trPr>
          <w:trHeight w:val="1295"/>
        </w:trPr>
        <w:tc>
          <w:tcPr>
            <w:tcW w:w="1705" w:type="dxa"/>
            <w:vAlign w:val="center"/>
          </w:tcPr>
          <w:p w14:paraId="2C32636F" w14:textId="0C1B1A92" w:rsidR="00E62A53" w:rsidRPr="009D6618" w:rsidRDefault="008F546A" w:rsidP="00604B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E62A53" w:rsidRPr="009D6618">
              <w:rPr>
                <w:rFonts w:ascii="Arial" w:hAnsi="Arial" w:cs="Arial"/>
              </w:rPr>
              <w:t xml:space="preserve"> </w:t>
            </w:r>
            <w:r w:rsidR="002F1A82">
              <w:rPr>
                <w:rFonts w:ascii="Arial" w:hAnsi="Arial" w:cs="Arial"/>
              </w:rPr>
              <w:t>2</w:t>
            </w:r>
            <w:r w:rsidR="000166B9"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  <w:vAlign w:val="center"/>
          </w:tcPr>
          <w:p w14:paraId="241D5365" w14:textId="1383D8C2" w:rsidR="00E62A53" w:rsidRPr="009D6618" w:rsidRDefault="00E62A53" w:rsidP="00604B4C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Department Chair</w:t>
            </w:r>
          </w:p>
        </w:tc>
        <w:tc>
          <w:tcPr>
            <w:tcW w:w="7389" w:type="dxa"/>
            <w:vAlign w:val="center"/>
          </w:tcPr>
          <w:p w14:paraId="14151AC4" w14:textId="4DBFDD8B" w:rsidR="00E62A53" w:rsidRPr="009D6618" w:rsidRDefault="00E62A53" w:rsidP="00604B4C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The summary of the activities of the faculty member during the last calendar year, the evaluation of the chair</w:t>
            </w:r>
            <w:r w:rsidR="00753198">
              <w:rPr>
                <w:rFonts w:ascii="Arial" w:hAnsi="Arial" w:cs="Arial"/>
              </w:rPr>
              <w:t>,</w:t>
            </w:r>
            <w:r w:rsidRPr="009D6618">
              <w:rPr>
                <w:rFonts w:ascii="Arial" w:hAnsi="Arial" w:cs="Arial"/>
              </w:rPr>
              <w:t xml:space="preserve"> and the rebuttal will be submitted to the </w:t>
            </w:r>
            <w:r w:rsidR="00753198">
              <w:rPr>
                <w:rFonts w:ascii="Arial" w:hAnsi="Arial" w:cs="Arial"/>
              </w:rPr>
              <w:t>T&amp;P</w:t>
            </w:r>
            <w:r w:rsidRPr="009D6618">
              <w:rPr>
                <w:rFonts w:ascii="Arial" w:hAnsi="Arial" w:cs="Arial"/>
              </w:rPr>
              <w:t xml:space="preserve"> committee of the Department immediately after the faculty member has submitted their rebuttal.</w:t>
            </w:r>
          </w:p>
        </w:tc>
      </w:tr>
      <w:tr w:rsidR="00E62A53" w:rsidRPr="009D6618" w14:paraId="00A3016F" w14:textId="77777777" w:rsidTr="00604B4C">
        <w:trPr>
          <w:trHeight w:val="800"/>
        </w:trPr>
        <w:tc>
          <w:tcPr>
            <w:tcW w:w="1705" w:type="dxa"/>
            <w:vAlign w:val="center"/>
          </w:tcPr>
          <w:p w14:paraId="7B633D1F" w14:textId="04580E27" w:rsidR="00E62A53" w:rsidRPr="009D6618" w:rsidRDefault="002F1A82" w:rsidP="00604B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0166B9">
              <w:rPr>
                <w:rFonts w:ascii="Arial" w:hAnsi="Arial" w:cs="Arial"/>
              </w:rPr>
              <w:t>3</w:t>
            </w:r>
          </w:p>
        </w:tc>
        <w:tc>
          <w:tcPr>
            <w:tcW w:w="1812" w:type="dxa"/>
            <w:vAlign w:val="center"/>
          </w:tcPr>
          <w:p w14:paraId="292CCFAA" w14:textId="33B639B3" w:rsidR="00E62A53" w:rsidRPr="009D6618" w:rsidRDefault="00E62A53" w:rsidP="00604B4C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Department P&amp;T Committee</w:t>
            </w:r>
          </w:p>
        </w:tc>
        <w:tc>
          <w:tcPr>
            <w:tcW w:w="7389" w:type="dxa"/>
            <w:vAlign w:val="center"/>
          </w:tcPr>
          <w:p w14:paraId="37277AE9" w14:textId="03C8BA3C" w:rsidR="00E62A53" w:rsidRPr="009D6618" w:rsidRDefault="00E62A53" w:rsidP="00604B4C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 xml:space="preserve">The T&amp;P committee of the Department will meet within 10 business </w:t>
            </w:r>
            <w:r w:rsidR="00753198" w:rsidRPr="009D6618">
              <w:rPr>
                <w:rFonts w:ascii="Arial" w:hAnsi="Arial" w:cs="Arial"/>
              </w:rPr>
              <w:t>days</w:t>
            </w:r>
            <w:r w:rsidRPr="009D6618">
              <w:rPr>
                <w:rFonts w:ascii="Arial" w:hAnsi="Arial" w:cs="Arial"/>
              </w:rPr>
              <w:t xml:space="preserve"> of receiving the packet and provide a rationale for such a vote.</w:t>
            </w:r>
          </w:p>
        </w:tc>
      </w:tr>
      <w:tr w:rsidR="005B5CD7" w:rsidRPr="009D6618" w14:paraId="698BBE8D" w14:textId="77777777" w:rsidTr="00604B4C">
        <w:trPr>
          <w:trHeight w:val="980"/>
        </w:trPr>
        <w:tc>
          <w:tcPr>
            <w:tcW w:w="1705" w:type="dxa"/>
            <w:vAlign w:val="center"/>
          </w:tcPr>
          <w:p w14:paraId="116B43DC" w14:textId="77777777" w:rsidR="009D6618" w:rsidRDefault="009D6618" w:rsidP="00604B4C">
            <w:pPr>
              <w:jc w:val="center"/>
              <w:rPr>
                <w:rFonts w:ascii="Arial" w:hAnsi="Arial" w:cs="Arial"/>
              </w:rPr>
            </w:pPr>
          </w:p>
          <w:p w14:paraId="55C35D13" w14:textId="0DFD3420" w:rsidR="005B5CD7" w:rsidRPr="009D6618" w:rsidRDefault="008F546A" w:rsidP="00604B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2F1A82">
              <w:rPr>
                <w:rFonts w:ascii="Arial" w:hAnsi="Arial" w:cs="Arial"/>
              </w:rPr>
              <w:t>2</w:t>
            </w:r>
            <w:r w:rsidR="000166B9">
              <w:rPr>
                <w:rFonts w:ascii="Arial" w:hAnsi="Arial" w:cs="Arial"/>
              </w:rPr>
              <w:t>9</w:t>
            </w:r>
          </w:p>
        </w:tc>
        <w:tc>
          <w:tcPr>
            <w:tcW w:w="1812" w:type="dxa"/>
            <w:vAlign w:val="center"/>
          </w:tcPr>
          <w:p w14:paraId="2044AC61" w14:textId="77777777" w:rsidR="009D6618" w:rsidRDefault="009D6618" w:rsidP="00604B4C">
            <w:pPr>
              <w:jc w:val="center"/>
              <w:rPr>
                <w:rFonts w:ascii="Arial" w:hAnsi="Arial" w:cs="Arial"/>
              </w:rPr>
            </w:pPr>
          </w:p>
          <w:p w14:paraId="42D67958" w14:textId="5B1719C6" w:rsidR="005B5CD7" w:rsidRPr="009D6618" w:rsidRDefault="00E62A53" w:rsidP="00604B4C">
            <w:pPr>
              <w:jc w:val="center"/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>Dean</w:t>
            </w:r>
          </w:p>
        </w:tc>
        <w:tc>
          <w:tcPr>
            <w:tcW w:w="7389" w:type="dxa"/>
            <w:vAlign w:val="center"/>
          </w:tcPr>
          <w:p w14:paraId="38F9FDD6" w14:textId="36374490" w:rsidR="005B5CD7" w:rsidRPr="009D6618" w:rsidRDefault="00E62A53" w:rsidP="00604B4C">
            <w:pPr>
              <w:rPr>
                <w:rFonts w:ascii="Arial" w:hAnsi="Arial" w:cs="Arial"/>
              </w:rPr>
            </w:pPr>
            <w:r w:rsidRPr="009D6618">
              <w:rPr>
                <w:rFonts w:ascii="Arial" w:hAnsi="Arial" w:cs="Arial"/>
              </w:rPr>
              <w:t xml:space="preserve">The Dean will consider all the evidence </w:t>
            </w:r>
            <w:r w:rsidR="00753198">
              <w:rPr>
                <w:rFonts w:ascii="Arial" w:hAnsi="Arial" w:cs="Arial"/>
              </w:rPr>
              <w:t>a</w:t>
            </w:r>
            <w:r w:rsidRPr="009D6618">
              <w:rPr>
                <w:rFonts w:ascii="Arial" w:hAnsi="Arial" w:cs="Arial"/>
              </w:rPr>
              <w:t>nd determine if the overall performance of the faculty member is satisfactory or unsatisfactory. The decision of the Dean is final and cannot be appealed.</w:t>
            </w:r>
          </w:p>
        </w:tc>
      </w:tr>
    </w:tbl>
    <w:p w14:paraId="7F5530F6" w14:textId="256359CB" w:rsidR="00DA4667" w:rsidRPr="009D6618" w:rsidRDefault="00DA4667" w:rsidP="00F70783">
      <w:pPr>
        <w:tabs>
          <w:tab w:val="left" w:pos="5910"/>
        </w:tabs>
        <w:rPr>
          <w:rFonts w:ascii="Arial" w:hAnsi="Arial" w:cs="Arial"/>
        </w:rPr>
      </w:pPr>
    </w:p>
    <w:sectPr w:rsidR="00DA4667" w:rsidRPr="009D6618" w:rsidSect="00C850DB">
      <w:headerReference w:type="default" r:id="rId8"/>
      <w:pgSz w:w="12240" w:h="15840"/>
      <w:pgMar w:top="1008" w:right="720" w:bottom="108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32A8" w14:textId="77777777" w:rsidR="00785B2B" w:rsidRDefault="00785B2B" w:rsidP="008D3DB3">
      <w:pPr>
        <w:spacing w:after="0" w:line="240" w:lineRule="auto"/>
      </w:pPr>
      <w:r>
        <w:separator/>
      </w:r>
    </w:p>
  </w:endnote>
  <w:endnote w:type="continuationSeparator" w:id="0">
    <w:p w14:paraId="77829E15" w14:textId="77777777" w:rsidR="00785B2B" w:rsidRDefault="00785B2B" w:rsidP="008D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6027" w14:textId="77777777" w:rsidR="00785B2B" w:rsidRDefault="00785B2B" w:rsidP="008D3DB3">
      <w:pPr>
        <w:spacing w:after="0" w:line="240" w:lineRule="auto"/>
      </w:pPr>
      <w:r>
        <w:separator/>
      </w:r>
    </w:p>
  </w:footnote>
  <w:footnote w:type="continuationSeparator" w:id="0">
    <w:p w14:paraId="27084BB1" w14:textId="77777777" w:rsidR="00785B2B" w:rsidRDefault="00785B2B" w:rsidP="008D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7FE3" w14:textId="100BBAE8" w:rsidR="00BC7624" w:rsidRDefault="00AA1A2E" w:rsidP="00BC7624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202</w:t>
    </w:r>
    <w:r w:rsidR="000166B9">
      <w:rPr>
        <w:b/>
        <w:bCs/>
        <w:sz w:val="40"/>
        <w:szCs w:val="40"/>
      </w:rPr>
      <w:t>6</w:t>
    </w:r>
    <w:r>
      <w:rPr>
        <w:b/>
        <w:bCs/>
        <w:sz w:val="40"/>
        <w:szCs w:val="40"/>
      </w:rPr>
      <w:t xml:space="preserve"> Faculty </w:t>
    </w:r>
    <w:r w:rsidR="00047F98">
      <w:rPr>
        <w:b/>
        <w:bCs/>
        <w:sz w:val="40"/>
        <w:szCs w:val="40"/>
      </w:rPr>
      <w:t xml:space="preserve">Annual </w:t>
    </w:r>
    <w:r>
      <w:rPr>
        <w:b/>
        <w:bCs/>
        <w:sz w:val="40"/>
        <w:szCs w:val="40"/>
      </w:rPr>
      <w:t>Evaluation</w:t>
    </w:r>
    <w:r w:rsidR="008D3DB3" w:rsidRPr="008D3DB3">
      <w:rPr>
        <w:b/>
        <w:bCs/>
        <w:sz w:val="40"/>
        <w:szCs w:val="40"/>
      </w:rPr>
      <w:t xml:space="preserve"> Deadlines</w:t>
    </w:r>
  </w:p>
  <w:p w14:paraId="2C9E280E" w14:textId="77777777" w:rsidR="00BC7624" w:rsidRPr="008D3DB3" w:rsidRDefault="00BC7624" w:rsidP="00BC7624">
    <w:pPr>
      <w:pStyle w:val="Header"/>
      <w:jc w:val="center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62C5"/>
    <w:multiLevelType w:val="hybridMultilevel"/>
    <w:tmpl w:val="C69E384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E120E"/>
    <w:multiLevelType w:val="hybridMultilevel"/>
    <w:tmpl w:val="00841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E372D"/>
    <w:multiLevelType w:val="hybridMultilevel"/>
    <w:tmpl w:val="EE32BE2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C6C12"/>
    <w:multiLevelType w:val="hybridMultilevel"/>
    <w:tmpl w:val="2ED02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C9D6A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F5D78"/>
    <w:multiLevelType w:val="hybridMultilevel"/>
    <w:tmpl w:val="00841D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E7AD8"/>
    <w:multiLevelType w:val="hybridMultilevel"/>
    <w:tmpl w:val="00841D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51574">
    <w:abstractNumId w:val="3"/>
  </w:num>
  <w:num w:numId="2" w16cid:durableId="1123427986">
    <w:abstractNumId w:val="0"/>
  </w:num>
  <w:num w:numId="3" w16cid:durableId="1405297738">
    <w:abstractNumId w:val="2"/>
  </w:num>
  <w:num w:numId="4" w16cid:durableId="1154877086">
    <w:abstractNumId w:val="1"/>
  </w:num>
  <w:num w:numId="5" w16cid:durableId="486437882">
    <w:abstractNumId w:val="4"/>
  </w:num>
  <w:num w:numId="6" w16cid:durableId="249199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B3"/>
    <w:rsid w:val="00000821"/>
    <w:rsid w:val="000166B9"/>
    <w:rsid w:val="00047F98"/>
    <w:rsid w:val="00120EA4"/>
    <w:rsid w:val="001A0FFA"/>
    <w:rsid w:val="001B431F"/>
    <w:rsid w:val="001D01B0"/>
    <w:rsid w:val="00240FC0"/>
    <w:rsid w:val="00293DF5"/>
    <w:rsid w:val="00296506"/>
    <w:rsid w:val="002C7268"/>
    <w:rsid w:val="002F1A82"/>
    <w:rsid w:val="00315206"/>
    <w:rsid w:val="003857BD"/>
    <w:rsid w:val="003C5176"/>
    <w:rsid w:val="0045072D"/>
    <w:rsid w:val="004A3BEA"/>
    <w:rsid w:val="004D4AB8"/>
    <w:rsid w:val="004E5031"/>
    <w:rsid w:val="004E5B9C"/>
    <w:rsid w:val="004E62BA"/>
    <w:rsid w:val="005358D3"/>
    <w:rsid w:val="005B49CF"/>
    <w:rsid w:val="005B5CD7"/>
    <w:rsid w:val="00604B4C"/>
    <w:rsid w:val="006358EF"/>
    <w:rsid w:val="006450F0"/>
    <w:rsid w:val="00686EBA"/>
    <w:rsid w:val="006E7CEC"/>
    <w:rsid w:val="006F2A93"/>
    <w:rsid w:val="0074348C"/>
    <w:rsid w:val="00753198"/>
    <w:rsid w:val="0077725B"/>
    <w:rsid w:val="00785B2B"/>
    <w:rsid w:val="007934DC"/>
    <w:rsid w:val="007B131C"/>
    <w:rsid w:val="007F718B"/>
    <w:rsid w:val="0080538B"/>
    <w:rsid w:val="00815D35"/>
    <w:rsid w:val="008610F3"/>
    <w:rsid w:val="008A2658"/>
    <w:rsid w:val="008D3DB3"/>
    <w:rsid w:val="008F546A"/>
    <w:rsid w:val="00943457"/>
    <w:rsid w:val="00945724"/>
    <w:rsid w:val="00960846"/>
    <w:rsid w:val="009D6618"/>
    <w:rsid w:val="00A040F9"/>
    <w:rsid w:val="00A2027D"/>
    <w:rsid w:val="00A21E4A"/>
    <w:rsid w:val="00A64607"/>
    <w:rsid w:val="00A8568A"/>
    <w:rsid w:val="00A9708B"/>
    <w:rsid w:val="00AA1A2E"/>
    <w:rsid w:val="00AB21EE"/>
    <w:rsid w:val="00AF6DED"/>
    <w:rsid w:val="00B46C7D"/>
    <w:rsid w:val="00B52BF4"/>
    <w:rsid w:val="00B730C4"/>
    <w:rsid w:val="00B93607"/>
    <w:rsid w:val="00BC7624"/>
    <w:rsid w:val="00C13CF8"/>
    <w:rsid w:val="00C22893"/>
    <w:rsid w:val="00C41C11"/>
    <w:rsid w:val="00C77835"/>
    <w:rsid w:val="00C850DB"/>
    <w:rsid w:val="00C93401"/>
    <w:rsid w:val="00CA26D3"/>
    <w:rsid w:val="00D066C8"/>
    <w:rsid w:val="00D56DB6"/>
    <w:rsid w:val="00DA4667"/>
    <w:rsid w:val="00DA7B09"/>
    <w:rsid w:val="00DF542E"/>
    <w:rsid w:val="00E021B6"/>
    <w:rsid w:val="00E62A53"/>
    <w:rsid w:val="00E82CCA"/>
    <w:rsid w:val="00EA4E1A"/>
    <w:rsid w:val="00EF14C6"/>
    <w:rsid w:val="00F53ADB"/>
    <w:rsid w:val="00F67875"/>
    <w:rsid w:val="00F70783"/>
    <w:rsid w:val="00F718FC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E3C0"/>
  <w15:chartTrackingRefBased/>
  <w15:docId w15:val="{4068E593-7B40-4942-A4B4-F7FA0461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D3DB3"/>
    <w:pPr>
      <w:widowControl w:val="0"/>
      <w:autoSpaceDE w:val="0"/>
      <w:autoSpaceDN w:val="0"/>
      <w:spacing w:after="0" w:line="240" w:lineRule="auto"/>
      <w:ind w:left="115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DB3"/>
  </w:style>
  <w:style w:type="paragraph" w:styleId="Footer">
    <w:name w:val="footer"/>
    <w:basedOn w:val="Normal"/>
    <w:link w:val="FooterChar"/>
    <w:uiPriority w:val="99"/>
    <w:unhideWhenUsed/>
    <w:rsid w:val="008D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DB3"/>
  </w:style>
  <w:style w:type="paragraph" w:styleId="BodyText">
    <w:name w:val="Body Text"/>
    <w:basedOn w:val="Normal"/>
    <w:link w:val="BodyTextChar"/>
    <w:uiPriority w:val="1"/>
    <w:qFormat/>
    <w:rsid w:val="008D3DB3"/>
    <w:pPr>
      <w:widowControl w:val="0"/>
      <w:autoSpaceDE w:val="0"/>
      <w:autoSpaceDN w:val="0"/>
      <w:spacing w:before="1"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3DB3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3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B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FB7B-2799-4380-A33B-A878F7DF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Misty M.</dc:creator>
  <cp:keywords/>
  <dc:description/>
  <cp:lastModifiedBy>House, Misty</cp:lastModifiedBy>
  <cp:revision>2</cp:revision>
  <cp:lastPrinted>2023-01-18T21:50:00Z</cp:lastPrinted>
  <dcterms:created xsi:type="dcterms:W3CDTF">2025-12-19T21:34:00Z</dcterms:created>
  <dcterms:modified xsi:type="dcterms:W3CDTF">2025-12-19T21:34:00Z</dcterms:modified>
</cp:coreProperties>
</file>